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  <w:lang w:eastAsia="zh-CN"/>
        </w:rPr>
        <w:t>后勤处公寓、花生所、环资所黑土实验楼防水</w:t>
      </w:r>
      <w:r>
        <w:rPr>
          <w:rFonts w:hint="eastAsia" w:ascii="黑体" w:hAnsi="宋体" w:eastAsia="黑体"/>
          <w:sz w:val="44"/>
          <w:szCs w:val="44"/>
        </w:rPr>
        <w:t>维修工程预算书</w:t>
      </w:r>
    </w:p>
    <w:tbl>
      <w:tblPr>
        <w:tblStyle w:val="5"/>
        <w:tblW w:w="101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717"/>
        <w:gridCol w:w="783"/>
        <w:gridCol w:w="1450"/>
        <w:gridCol w:w="1017"/>
        <w:gridCol w:w="1133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总价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</w:t>
            </w:r>
          </w:p>
        </w:tc>
        <w:tc>
          <w:tcPr>
            <w:tcW w:w="91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工程面积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后勤处二公寓面积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468.59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花生所实验楼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699.72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环资所黑土实验楼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326.59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总计：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总工程面积：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1494.90㎡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</w:t>
            </w:r>
          </w:p>
        </w:tc>
        <w:tc>
          <w:tcPr>
            <w:tcW w:w="917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原层面找平层、防水层拆除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1494.90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建筑垃圾清运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1494.90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50㎜细石混凝土100#找平层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1494.90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房檐包口0.5㎜黑色彩钢板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283.40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PMB-742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（东方雨虹牌）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超低温（SBS）改性沥青防水卷材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1494.90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保修期限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10年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㎡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1494.90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三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管理费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四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税金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五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总合计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元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工程材料近场必须由建设单位检验合格后才可施工</w:t>
            </w:r>
            <w:bookmarkStart w:id="0" w:name="_GoBack"/>
            <w:bookmarkEnd w:id="0"/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905C5"/>
    <w:rsid w:val="1F606A5C"/>
    <w:rsid w:val="52EB4026"/>
    <w:rsid w:val="66FF0CA5"/>
    <w:rsid w:val="679E3E41"/>
    <w:rsid w:val="684D1602"/>
    <w:rsid w:val="6FC10E10"/>
    <w:rsid w:val="74FB5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2018-05-24T01:01:36Z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